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outlineLvl w:val="0"/>
        <w:rPr>
          <w:rFonts w:asciiTheme="minorHAnsi" w:hAnsiTheme="minorHAnsi" w:cs="Calibri"/>
          <w:sz w:val="22"/>
          <w:szCs w:val="22"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jc w:val="center"/>
        <w:rPr>
          <w:rFonts w:cstheme="minorBidi"/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СЕЛЬСКАЯ ДУМА</w:t>
      </w: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11D94" w:rsidRDefault="00E47F4F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ДЕРЕВНЯ ВЕРХОВАЯ</w:t>
      </w:r>
      <w:r w:rsidR="00711D94">
        <w:rPr>
          <w:b/>
          <w:sz w:val="28"/>
          <w:szCs w:val="28"/>
        </w:rPr>
        <w:t>»</w:t>
      </w:r>
    </w:p>
    <w:p w:rsidR="00711D94" w:rsidRDefault="00711D94" w:rsidP="00711D94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E47F4F" w:rsidP="00711D94">
      <w:pPr>
        <w:widowControl w:val="0"/>
        <w:adjustRightInd w:val="0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</w:t>
      </w:r>
      <w:r w:rsidR="00D65103">
        <w:rPr>
          <w:b/>
          <w:bCs/>
          <w:sz w:val="28"/>
          <w:szCs w:val="28"/>
        </w:rPr>
        <w:t>.12.2018</w:t>
      </w:r>
      <w:r w:rsidR="00711D94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      № 179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</w:t>
      </w:r>
    </w:p>
    <w:p w:rsidR="00711D94" w:rsidRP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территорий сельского</w:t>
      </w:r>
      <w:r w:rsidR="003053F1">
        <w:rPr>
          <w:rFonts w:cstheme="minorBid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 «</w:t>
      </w:r>
      <w:r w:rsidR="00E47F4F">
        <w:rPr>
          <w:b/>
          <w:sz w:val="28"/>
          <w:szCs w:val="28"/>
        </w:rPr>
        <w:t>Деревня Верховая</w:t>
      </w:r>
      <w:r>
        <w:rPr>
          <w:b/>
          <w:sz w:val="28"/>
          <w:szCs w:val="28"/>
        </w:rPr>
        <w:t xml:space="preserve">» 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Theme="minorHAnsi" w:hAnsiTheme="minorHAnsi" w:cs="Calibri"/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9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Calibri" w:hAnsi="Calibri" w:cs="Calibri"/>
          <w:sz w:val="28"/>
          <w:szCs w:val="28"/>
        </w:rPr>
        <w:t>"</w:t>
      </w:r>
      <w:r>
        <w:rPr>
          <w:color w:val="000000"/>
          <w:sz w:val="28"/>
          <w:szCs w:val="28"/>
        </w:rPr>
        <w:t>, Уставом СП «</w:t>
      </w:r>
      <w:r w:rsidR="00E47F4F">
        <w:rPr>
          <w:sz w:val="28"/>
          <w:szCs w:val="28"/>
        </w:rPr>
        <w:t>Деревня Верховая</w:t>
      </w:r>
      <w:r>
        <w:rPr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Се</w:t>
      </w:r>
      <w:r w:rsidR="00E47F4F">
        <w:rPr>
          <w:sz w:val="28"/>
          <w:szCs w:val="28"/>
        </w:rPr>
        <w:t>льская  Дума СП  "Деревня Верховая</w:t>
      </w:r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 Утвердить </w:t>
      </w:r>
      <w:hyperlink r:id="rId6" w:anchor="Par34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благоустройства </w:t>
      </w:r>
      <w:r w:rsidR="00D651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территорий сел</w:t>
      </w:r>
      <w:r w:rsidR="00E47F4F">
        <w:rPr>
          <w:color w:val="000000" w:themeColor="text1"/>
          <w:sz w:val="28"/>
          <w:szCs w:val="28"/>
        </w:rPr>
        <w:t>ьского поселения "Деревня Верховая</w:t>
      </w:r>
      <w:r>
        <w:rPr>
          <w:color w:val="000000" w:themeColor="text1"/>
          <w:sz w:val="28"/>
          <w:szCs w:val="28"/>
        </w:rPr>
        <w:t>" (приложение N 1).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color w:val="000000" w:themeColor="text1"/>
          <w:sz w:val="28"/>
          <w:szCs w:val="28"/>
        </w:rPr>
        <w:t xml:space="preserve"> Сельской Думы сель</w:t>
      </w:r>
      <w:r w:rsidR="001E1E84">
        <w:rPr>
          <w:color w:val="000000" w:themeColor="text1"/>
          <w:sz w:val="28"/>
          <w:szCs w:val="28"/>
        </w:rPr>
        <w:t>ского поселения  "Деревня Верховая</w:t>
      </w:r>
      <w:r>
        <w:rPr>
          <w:color w:val="000000" w:themeColor="text1"/>
          <w:sz w:val="28"/>
          <w:szCs w:val="28"/>
        </w:rPr>
        <w:t xml:space="preserve">" </w:t>
      </w:r>
      <w:r w:rsidRPr="003053F1">
        <w:rPr>
          <w:color w:val="000000" w:themeColor="text1"/>
          <w:sz w:val="28"/>
          <w:szCs w:val="28"/>
        </w:rPr>
        <w:t xml:space="preserve">от  </w:t>
      </w:r>
      <w:r w:rsidR="00E47F4F">
        <w:rPr>
          <w:color w:val="000000" w:themeColor="text1"/>
          <w:sz w:val="28"/>
          <w:szCs w:val="28"/>
        </w:rPr>
        <w:t>26</w:t>
      </w:r>
      <w:r w:rsidR="00FE344E" w:rsidRPr="003053F1">
        <w:rPr>
          <w:color w:val="000000" w:themeColor="text1"/>
          <w:sz w:val="28"/>
          <w:szCs w:val="28"/>
        </w:rPr>
        <w:t>.05.2015г</w:t>
      </w:r>
      <w:r w:rsidRPr="003053F1">
        <w:rPr>
          <w:color w:val="000000" w:themeColor="text1"/>
          <w:sz w:val="28"/>
          <w:szCs w:val="28"/>
        </w:rPr>
        <w:t xml:space="preserve"> N </w:t>
      </w:r>
      <w:r w:rsidR="00E47F4F">
        <w:rPr>
          <w:color w:val="000000" w:themeColor="text1"/>
          <w:sz w:val="28"/>
          <w:szCs w:val="28"/>
        </w:rPr>
        <w:t>293</w:t>
      </w:r>
      <w:r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>
        <w:rPr>
          <w:color w:val="000000" w:themeColor="text1"/>
          <w:sz w:val="28"/>
          <w:szCs w:val="28"/>
        </w:rPr>
        <w:t xml:space="preserve"> и содержания </w:t>
      </w:r>
      <w:r>
        <w:rPr>
          <w:color w:val="000000" w:themeColor="text1"/>
          <w:sz w:val="28"/>
          <w:szCs w:val="28"/>
        </w:rPr>
        <w:t xml:space="preserve"> территорий сел</w:t>
      </w:r>
      <w:r w:rsidR="00E47F4F">
        <w:rPr>
          <w:color w:val="000000" w:themeColor="text1"/>
          <w:sz w:val="28"/>
          <w:szCs w:val="28"/>
        </w:rPr>
        <w:t>ьского поселения "Деревня Верховая</w:t>
      </w:r>
      <w:r>
        <w:rPr>
          <w:color w:val="000000" w:themeColor="text1"/>
          <w:sz w:val="28"/>
          <w:szCs w:val="28"/>
        </w:rPr>
        <w:t>" признать утратившим силу.</w:t>
      </w:r>
    </w:p>
    <w:p w:rsidR="00FE344E" w:rsidRDefault="003053F1" w:rsidP="00FE344E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Сельской Д</w:t>
      </w:r>
      <w:r w:rsidR="00FE344E">
        <w:rPr>
          <w:color w:val="000000" w:themeColor="text1"/>
          <w:sz w:val="28"/>
          <w:szCs w:val="28"/>
        </w:rPr>
        <w:t>умы</w:t>
      </w:r>
      <w:r>
        <w:rPr>
          <w:color w:val="000000" w:themeColor="text1"/>
          <w:sz w:val="28"/>
          <w:szCs w:val="28"/>
        </w:rPr>
        <w:t xml:space="preserve"> сел</w:t>
      </w:r>
      <w:r w:rsidR="00E47F4F">
        <w:rPr>
          <w:color w:val="000000" w:themeColor="text1"/>
          <w:sz w:val="28"/>
          <w:szCs w:val="28"/>
        </w:rPr>
        <w:t>ьского поселения «Деревня Верховая</w:t>
      </w:r>
      <w:r>
        <w:rPr>
          <w:color w:val="000000" w:themeColor="text1"/>
          <w:sz w:val="28"/>
          <w:szCs w:val="28"/>
        </w:rPr>
        <w:t xml:space="preserve">» </w:t>
      </w:r>
      <w:r w:rsidR="00E47F4F">
        <w:rPr>
          <w:color w:val="000000" w:themeColor="text1"/>
          <w:sz w:val="28"/>
          <w:szCs w:val="28"/>
        </w:rPr>
        <w:t xml:space="preserve"> № 68 от 19</w:t>
      </w:r>
      <w:r w:rsidR="00FE344E">
        <w:rPr>
          <w:color w:val="000000" w:themeColor="text1"/>
          <w:sz w:val="28"/>
          <w:szCs w:val="28"/>
        </w:rPr>
        <w:t>.08.2016г</w:t>
      </w:r>
      <w:proofErr w:type="gramStart"/>
      <w:r w:rsidR="00FE344E">
        <w:rPr>
          <w:color w:val="000000" w:themeColor="text1"/>
          <w:sz w:val="28"/>
          <w:szCs w:val="28"/>
        </w:rPr>
        <w:t xml:space="preserve"> ,</w:t>
      </w:r>
      <w:proofErr w:type="gramEnd"/>
      <w:r w:rsidR="00FE344E">
        <w:rPr>
          <w:color w:val="000000" w:themeColor="text1"/>
          <w:sz w:val="28"/>
          <w:szCs w:val="28"/>
        </w:rPr>
        <w:t xml:space="preserve"> «О внесении из</w:t>
      </w:r>
      <w:r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E47F4F">
        <w:rPr>
          <w:color w:val="000000" w:themeColor="text1"/>
          <w:sz w:val="28"/>
          <w:szCs w:val="28"/>
        </w:rPr>
        <w:t>умы от 26.05.2015г № 293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</w:t>
      </w:r>
      <w:r w:rsidR="00E47F4F">
        <w:rPr>
          <w:color w:val="000000" w:themeColor="text1"/>
          <w:sz w:val="28"/>
          <w:szCs w:val="28"/>
        </w:rPr>
        <w:t>ьского поселения «Деревня Верховая</w:t>
      </w:r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FE344E" w:rsidRDefault="003053F1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Сельской Д</w:t>
      </w:r>
      <w:r w:rsidR="00FE344E">
        <w:rPr>
          <w:color w:val="000000" w:themeColor="text1"/>
          <w:sz w:val="28"/>
          <w:szCs w:val="28"/>
        </w:rPr>
        <w:t xml:space="preserve">умы </w:t>
      </w:r>
      <w:r>
        <w:rPr>
          <w:color w:val="000000" w:themeColor="text1"/>
          <w:sz w:val="28"/>
          <w:szCs w:val="28"/>
        </w:rPr>
        <w:t>сел</w:t>
      </w:r>
      <w:r w:rsidR="00E47F4F">
        <w:rPr>
          <w:color w:val="000000" w:themeColor="text1"/>
          <w:sz w:val="28"/>
          <w:szCs w:val="28"/>
        </w:rPr>
        <w:t>ьского поселения «Деревня Верховая»   № 89 от 27</w:t>
      </w:r>
      <w:r w:rsidR="00FE344E">
        <w:rPr>
          <w:color w:val="000000" w:themeColor="text1"/>
          <w:sz w:val="28"/>
          <w:szCs w:val="28"/>
        </w:rPr>
        <w:t>.12.2016 г «О внесении из</w:t>
      </w:r>
      <w:r>
        <w:rPr>
          <w:color w:val="000000" w:themeColor="text1"/>
          <w:sz w:val="28"/>
          <w:szCs w:val="28"/>
        </w:rPr>
        <w:t>менений и дополнений в Р</w:t>
      </w:r>
      <w:r w:rsidR="00FE344E">
        <w:rPr>
          <w:color w:val="000000" w:themeColor="text1"/>
          <w:sz w:val="28"/>
          <w:szCs w:val="28"/>
        </w:rPr>
        <w:t>ешение Сельской Думы о</w:t>
      </w:r>
      <w:r w:rsidR="00E47F4F">
        <w:rPr>
          <w:color w:val="000000" w:themeColor="text1"/>
          <w:sz w:val="28"/>
          <w:szCs w:val="28"/>
        </w:rPr>
        <w:t>т 26.05.2015г № 293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</w:t>
      </w:r>
      <w:r w:rsidR="00E47F4F">
        <w:rPr>
          <w:color w:val="000000" w:themeColor="text1"/>
          <w:sz w:val="28"/>
          <w:szCs w:val="28"/>
        </w:rPr>
        <w:t>ьского поселения «Деревня Верховая</w:t>
      </w:r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711D94" w:rsidRDefault="003053F1" w:rsidP="00711D94">
      <w:pPr>
        <w:widowControl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1D94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711D94" w:rsidRDefault="003053F1" w:rsidP="003053F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proofErr w:type="gramStart"/>
      <w:r w:rsidR="00711D94">
        <w:rPr>
          <w:sz w:val="28"/>
          <w:szCs w:val="28"/>
        </w:rPr>
        <w:t>Контроль за</w:t>
      </w:r>
      <w:proofErr w:type="gramEnd"/>
      <w:r w:rsidR="00711D94">
        <w:rPr>
          <w:sz w:val="28"/>
          <w:szCs w:val="28"/>
        </w:rPr>
        <w:t xml:space="preserve"> исполнением настоящего Решения возложить на </w:t>
      </w:r>
      <w:r w:rsidR="00E47F4F">
        <w:rPr>
          <w:sz w:val="28"/>
          <w:szCs w:val="28"/>
        </w:rPr>
        <w:t>администрацию СП "Деревня Верховая</w:t>
      </w:r>
      <w:r w:rsidR="00711D94">
        <w:rPr>
          <w:sz w:val="28"/>
          <w:szCs w:val="28"/>
        </w:rPr>
        <w:t>".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053F1" w:rsidRDefault="00E47F4F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</w:p>
    <w:p w:rsidR="00711D94" w:rsidRDefault="00711D94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711D94" w:rsidRDefault="00E47F4F" w:rsidP="003053F1">
      <w:pPr>
        <w:widowControl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b/>
          <w:sz w:val="28"/>
          <w:szCs w:val="28"/>
        </w:rPr>
        <w:t>"Деревня Верховая</w:t>
      </w:r>
      <w:r w:rsidR="00711D9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            </w:t>
      </w:r>
      <w:r w:rsidR="00711D9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О.Н.Блинова</w:t>
      </w:r>
    </w:p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FA6B07">
      <w:pPr>
        <w:jc w:val="right"/>
        <w:rPr>
          <w:sz w:val="20"/>
        </w:rPr>
      </w:pPr>
      <w:r w:rsidRPr="004E52DF">
        <w:rPr>
          <w:sz w:val="20"/>
        </w:rPr>
        <w:lastRenderedPageBreak/>
        <w:t>Приложение</w:t>
      </w:r>
      <w:r>
        <w:rPr>
          <w:sz w:val="20"/>
        </w:rPr>
        <w:t xml:space="preserve"> к Решению </w:t>
      </w:r>
    </w:p>
    <w:p w:rsidR="00FA6B07" w:rsidRDefault="00157891" w:rsidP="00FA6B07">
      <w:pPr>
        <w:jc w:val="right"/>
        <w:rPr>
          <w:sz w:val="20"/>
        </w:rPr>
      </w:pPr>
      <w:r>
        <w:rPr>
          <w:sz w:val="20"/>
        </w:rPr>
        <w:t>сельской Думы СП «Деревня Верховая</w:t>
      </w:r>
      <w:r w:rsidR="00FA6B07">
        <w:rPr>
          <w:sz w:val="20"/>
        </w:rPr>
        <w:t xml:space="preserve">» </w:t>
      </w:r>
    </w:p>
    <w:p w:rsidR="00FA6B07" w:rsidRDefault="00157891" w:rsidP="00FA6B07">
      <w:pPr>
        <w:jc w:val="right"/>
        <w:rPr>
          <w:b/>
        </w:rPr>
      </w:pPr>
      <w:r>
        <w:rPr>
          <w:sz w:val="20"/>
        </w:rPr>
        <w:t>от  24</w:t>
      </w:r>
      <w:r w:rsidR="00FA6B07">
        <w:rPr>
          <w:sz w:val="20"/>
        </w:rPr>
        <w:t>.12.2018 г. №</w:t>
      </w:r>
      <w:r>
        <w:rPr>
          <w:sz w:val="20"/>
        </w:rPr>
        <w:t>17</w:t>
      </w:r>
      <w:bookmarkStart w:id="1" w:name="_GoBack"/>
      <w:bookmarkEnd w:id="1"/>
      <w:r w:rsidR="001E1E84">
        <w:rPr>
          <w:sz w:val="20"/>
        </w:rPr>
        <w:t>9</w:t>
      </w:r>
      <w:r w:rsidR="00FA6B07">
        <w:rPr>
          <w:sz w:val="20"/>
        </w:rPr>
        <w:t xml:space="preserve">  </w:t>
      </w:r>
    </w:p>
    <w:p w:rsidR="00FA6B07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  <w:r>
        <w:rPr>
          <w:b/>
        </w:rPr>
        <w:t xml:space="preserve"> </w:t>
      </w: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СЕЛ</w:t>
      </w:r>
      <w:r w:rsidR="00157891">
        <w:rPr>
          <w:b/>
        </w:rPr>
        <w:t>ЬСКОГО ПОСЕЛЕНИЯ «ДЕРЕВНЯ ВЕРХОВАЯ</w:t>
      </w:r>
      <w:r w:rsidRPr="00AD6846">
        <w:rPr>
          <w:b/>
        </w:rPr>
        <w:t xml:space="preserve">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  <w:jc w:val="both"/>
      </w:pPr>
    </w:p>
    <w:p w:rsidR="00FA6B07" w:rsidRPr="00AD6846" w:rsidRDefault="00FA6B07" w:rsidP="00FA6B07">
      <w:pPr>
        <w:ind w:firstLine="709"/>
        <w:jc w:val="both"/>
      </w:pPr>
      <w:r w:rsidRPr="00AD6846">
        <w:t>1. Настоящие правила благоустройства территорий сел</w:t>
      </w:r>
      <w:r w:rsidR="00157891">
        <w:t>ьского поселения «Деревня Верховая</w:t>
      </w:r>
      <w:r w:rsidRPr="00AD6846">
        <w:t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157891">
        <w:t>ьского поселения «Деревня Верховая</w:t>
      </w:r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  <w:jc w:val="both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  <w:jc w:val="both"/>
      </w:pPr>
      <w:r w:rsidRPr="00AD6846"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  <w:jc w:val="both"/>
      </w:pPr>
      <w:r w:rsidRPr="00AD6846"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  <w:jc w:val="both"/>
      </w:pPr>
      <w:r w:rsidRPr="00AD6846"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FA6B07" w:rsidRPr="00AD6846" w:rsidRDefault="00FA6B07" w:rsidP="00FA6B07">
      <w:pPr>
        <w:ind w:firstLine="709"/>
        <w:jc w:val="both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  <w:jc w:val="both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  <w:jc w:val="both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  <w:jc w:val="both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  <w:jc w:val="both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  <w:jc w:val="both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</w:t>
      </w:r>
      <w:r w:rsidRPr="00AD6846">
        <w:lastRenderedPageBreak/>
        <w:t>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Pr="00AD6846" w:rsidRDefault="00FA6B07" w:rsidP="00FA6B07">
      <w:pPr>
        <w:ind w:firstLine="709"/>
        <w:jc w:val="both"/>
      </w:pPr>
      <w:r w:rsidRPr="00AD6846"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FA6B07" w:rsidRPr="00AD6846" w:rsidRDefault="00FA6B07" w:rsidP="00FA6B07">
      <w:pPr>
        <w:ind w:firstLine="709"/>
        <w:jc w:val="both"/>
      </w:pPr>
      <w:r w:rsidRPr="00AD6846">
        <w:t>3. Благоустройству в се</w:t>
      </w:r>
      <w:r w:rsidR="001E1E84">
        <w:t>льском поселении «Деревня Верховая</w:t>
      </w:r>
      <w:r w:rsidRPr="00AD6846">
        <w:t>» подлежат:</w:t>
      </w:r>
    </w:p>
    <w:p w:rsidR="00FA6B07" w:rsidRPr="00AD6846" w:rsidRDefault="00FA6B07" w:rsidP="00FA6B07">
      <w:pPr>
        <w:ind w:firstLine="709"/>
        <w:jc w:val="both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  <w:jc w:val="both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  <w:jc w:val="both"/>
      </w:pPr>
      <w:r w:rsidRPr="00AD6846">
        <w:t>4. Благоустройству в се</w:t>
      </w:r>
      <w:r w:rsidR="00157891">
        <w:t>льском поселении «Деревня Верховая</w:t>
      </w:r>
      <w:r w:rsidRPr="00AD6846"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  <w:jc w:val="both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  <w:jc w:val="both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  <w:jc w:val="both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  <w:jc w:val="both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  <w:jc w:val="both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  <w:jc w:val="both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  <w:jc w:val="both"/>
      </w:pPr>
      <w:r w:rsidRPr="00AD6846"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  <w:jc w:val="both"/>
      </w:pPr>
      <w:r w:rsidRPr="00AD6846">
        <w:t>л) объекты культурного наследия;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  <w:jc w:val="both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  <w:jc w:val="both"/>
      </w:pPr>
      <w:r w:rsidRPr="00AD6846"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6. </w:t>
      </w:r>
      <w:proofErr w:type="gramStart"/>
      <w:r w:rsidRPr="00AD6846">
        <w:t xml:space="preserve"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157891">
        <w:t>территории МО СП «</w:t>
      </w:r>
      <w:r w:rsidR="00927B54">
        <w:t>Деревня Верховая</w:t>
      </w:r>
      <w:r w:rsidRPr="00AD6846">
        <w:t>».</w:t>
      </w:r>
      <w:proofErr w:type="gramEnd"/>
    </w:p>
    <w:p w:rsidR="00FA6B07" w:rsidRPr="00AD6846" w:rsidRDefault="00FA6B07" w:rsidP="00FA6B07">
      <w:pPr>
        <w:ind w:firstLine="709"/>
        <w:jc w:val="both"/>
      </w:pPr>
      <w:r w:rsidRPr="00AD6846">
        <w:t>7. Орган местного с</w:t>
      </w:r>
      <w:r w:rsidR="00927B54">
        <w:t>амоуправления СП «Деревня Верховая</w:t>
      </w:r>
      <w:r w:rsidRPr="00AD6846">
        <w:t>» за счет средств местного бюджета обеспечивает: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  <w:jc w:val="both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  <w:jc w:val="both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10. Жители сел</w:t>
      </w:r>
      <w:r w:rsidR="00927B54">
        <w:t>ьского поселения «Деревня Верховая</w:t>
      </w:r>
      <w:r w:rsidRPr="00AD6846"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</w:t>
      </w:r>
      <w:r w:rsidR="00927B54">
        <w:t>управления МО СП «Деревня Верховая</w:t>
      </w:r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12. На территории сел</w:t>
      </w:r>
      <w:r w:rsidR="00927B54">
        <w:t>ьского поселения «Деревня Верховая</w:t>
      </w:r>
      <w:r w:rsidRPr="00AD6846">
        <w:t>»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  <w:jc w:val="both"/>
      </w:pPr>
      <w:r w:rsidRPr="00AD6846"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  <w:jc w:val="both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  <w:jc w:val="both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  <w:jc w:val="both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  <w:jc w:val="both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  <w:jc w:val="both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  <w:jc w:val="both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  <w:jc w:val="both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  <w:jc w:val="both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  <w:jc w:val="both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  <w:jc w:val="both"/>
      </w:pPr>
      <w:r w:rsidRPr="00AD6846"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  <w:jc w:val="both"/>
      </w:pPr>
      <w:r w:rsidRPr="00AD6846"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  <w:jc w:val="both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  <w:jc w:val="both"/>
      </w:pPr>
      <w:r w:rsidRPr="00AD6846"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  <w:jc w:val="both"/>
      </w:pPr>
      <w:r w:rsidRPr="00AD6846">
        <w:t>13. Уборка улиц и дорог на территории населенных пунктов производится регулярно в порядке, определяемом а</w:t>
      </w:r>
      <w:r w:rsidR="00927B54">
        <w:t>дминистрацией СП «Деревня Верховая</w:t>
      </w:r>
      <w:r w:rsidRPr="00AD6846">
        <w:t>»: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14. Придомовые территории, внутридворовые проезды и тротуары, места массового посещения на территории населенных пунктов ежедневно подметаются </w:t>
      </w:r>
      <w:proofErr w:type="gramStart"/>
      <w:r w:rsidRPr="00AD6846">
        <w:t>от</w:t>
      </w:r>
      <w:proofErr w:type="gramEnd"/>
      <w:r w:rsidRPr="00AD6846">
        <w:t xml:space="preserve"> </w:t>
      </w:r>
      <w:proofErr w:type="gramStart"/>
      <w:r w:rsidRPr="00AD6846">
        <w:t>смета</w:t>
      </w:r>
      <w:proofErr w:type="gramEnd"/>
      <w:r w:rsidRPr="00AD6846">
        <w:t>, пыли и мелкого бытового мусора.</w:t>
      </w:r>
    </w:p>
    <w:p w:rsidR="00FA6B07" w:rsidRPr="00AD6846" w:rsidRDefault="00FA6B07" w:rsidP="00FA6B07">
      <w:pPr>
        <w:ind w:firstLine="709"/>
        <w:jc w:val="both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  <w:jc w:val="both"/>
      </w:pPr>
      <w:r w:rsidRPr="00AD6846"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  <w:jc w:val="both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  <w:jc w:val="both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  <w:jc w:val="both"/>
      </w:pPr>
      <w:r w:rsidRPr="00AD6846"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  <w:jc w:val="both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  <w:jc w:val="both"/>
      </w:pPr>
      <w:r w:rsidRPr="00AD6846"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Pr="00AD6846" w:rsidRDefault="00FA6B07" w:rsidP="00FA6B07">
      <w:pPr>
        <w:ind w:firstLine="709"/>
        <w:jc w:val="both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6B07" w:rsidRPr="00AD6846" w:rsidRDefault="00FA6B07" w:rsidP="00FA6B07">
      <w:pPr>
        <w:ind w:firstLine="709"/>
        <w:jc w:val="both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  <w:jc w:val="both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  <w:jc w:val="both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  <w:jc w:val="both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  <w:jc w:val="both"/>
      </w:pPr>
      <w:r w:rsidRPr="00AD6846">
        <w:t>Адресные реквизиты изготавливаются по форме, определяемой а</w:t>
      </w:r>
      <w:r w:rsidR="00927B54">
        <w:t>дминистрацией СП «Деревня Верховая</w:t>
      </w:r>
      <w:r w:rsidRPr="00AD6846">
        <w:t>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  <w:jc w:val="both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Включение и отключение устройств наружного освещения осуществляется в соответствии с утвержденным а</w:t>
      </w:r>
      <w:r w:rsidR="00927B54">
        <w:t>дминистрацией СП «Деревня Верховая</w:t>
      </w:r>
      <w:r w:rsidRPr="00AD6846">
        <w:t>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  <w:jc w:val="both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  <w:jc w:val="both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Места для установки средств размещения информации определяются а</w:t>
      </w:r>
      <w:r w:rsidR="00927B54">
        <w:t>дминистрацией СП «Деревня Верховая</w:t>
      </w:r>
      <w:r w:rsidRPr="00AD6846"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  <w:jc w:val="both"/>
      </w:pPr>
      <w:r w:rsidRPr="00AD6846"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</w:t>
      </w:r>
      <w:r w:rsidRPr="00AD6846">
        <w:lastRenderedPageBreak/>
        <w:t>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  <w:jc w:val="both"/>
      </w:pPr>
      <w:r w:rsidRPr="00AD6846"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FA6B07" w:rsidRPr="00AD6846" w:rsidRDefault="00FA6B07" w:rsidP="00FA6B07">
      <w:pPr>
        <w:ind w:firstLine="709"/>
        <w:jc w:val="both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Pr="00AD6846" w:rsidRDefault="00FA6B07" w:rsidP="00FA6B07">
      <w:pPr>
        <w:ind w:firstLine="709"/>
        <w:jc w:val="both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  <w:jc w:val="both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  <w:jc w:val="both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  <w:jc w:val="both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927B54">
        <w:t>администрации СП «Деревня Верховая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  <w:jc w:val="both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  <w:jc w:val="both"/>
      </w:pPr>
      <w:r w:rsidRPr="00AD6846">
        <w:t>36.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  <w:jc w:val="both"/>
      </w:pPr>
      <w:r w:rsidRPr="00AD6846">
        <w:t>в) организовывать складирование (свалки) снега в местах, не установленных а</w:t>
      </w:r>
      <w:r w:rsidR="00927B54">
        <w:t>дминистрацией СП «Деревня Верховая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  <w:jc w:val="both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  <w:jc w:val="both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  <w:jc w:val="both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  <w:jc w:val="both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  <w:jc w:val="both"/>
      </w:pPr>
      <w:r w:rsidRPr="00AD6846">
        <w:t>43.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  <w:jc w:val="both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  <w:jc w:val="both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  <w:jc w:val="both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  <w:jc w:val="both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  <w:jc w:val="both"/>
      </w:pPr>
      <w:r w:rsidRPr="00AD6846">
        <w:t>48</w:t>
      </w:r>
      <w:r w:rsidRPr="00DE03E0">
        <w:t xml:space="preserve"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</w:t>
      </w:r>
      <w:r w:rsidRPr="00DE03E0">
        <w:lastRenderedPageBreak/>
        <w:t>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  <w:jc w:val="both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  <w:jc w:val="both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</w:t>
      </w:r>
      <w:r w:rsidR="00927B54">
        <w:t>ляется администрацией СП «Деревня Верховая</w:t>
      </w:r>
      <w:r w:rsidRPr="00AD6846">
        <w:t>»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  <w:jc w:val="both"/>
      </w:pPr>
      <w:r w:rsidRPr="00AD6846">
        <w:t>52. Запрещается самовольная установка контейнеров и бункеров-накопителей без согласования с а</w:t>
      </w:r>
      <w:r w:rsidR="00927B54">
        <w:t>дминистрацией СП «Деревня Верховая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  <w:jc w:val="both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  <w:jc w:val="both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56.  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а) Внутридворовые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>
        <w:t xml:space="preserve">        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За уборку и содержание территорий учреждений социальной сферы, расположенных </w:t>
      </w:r>
      <w:r w:rsidRPr="000A0C27">
        <w:lastRenderedPageBreak/>
        <w:t>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к</w:t>
      </w:r>
      <w:r w:rsidRPr="000A0C27">
        <w:t>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  <w:r>
        <w:t xml:space="preserve"> </w:t>
      </w:r>
    </w:p>
    <w:p w:rsidR="00FA6B07" w:rsidRPr="00AD6846" w:rsidRDefault="00FA6B07" w:rsidP="00FA6B07">
      <w:pPr>
        <w:ind w:firstLine="709"/>
        <w:jc w:val="both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  <w:jc w:val="both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  <w:jc w:val="both"/>
      </w:pPr>
      <w:r w:rsidRPr="00AD6846"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  <w:jc w:val="both"/>
      </w:pPr>
      <w:r w:rsidRPr="00AD6846"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  <w:jc w:val="both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  <w:jc w:val="both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  <w:jc w:val="both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  <w:jc w:val="both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  <w:jc w:val="both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  <w:jc w:val="both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AD6846" w:rsidRDefault="00FA6B07" w:rsidP="00FA6B07">
      <w:pPr>
        <w:ind w:firstLine="709"/>
        <w:jc w:val="both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FA6B07" w:rsidRPr="00AD6846" w:rsidRDefault="00FA6B07" w:rsidP="00FA6B07">
      <w:pPr>
        <w:ind w:firstLine="709"/>
        <w:jc w:val="both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  <w:jc w:val="both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подметание прилегающих территорий </w:t>
      </w:r>
      <w:proofErr w:type="gramStart"/>
      <w:r w:rsidRPr="00AD6846">
        <w:t>от</w:t>
      </w:r>
      <w:proofErr w:type="gramEnd"/>
      <w:r w:rsidRPr="00AD6846">
        <w:t xml:space="preserve"> </w:t>
      </w:r>
      <w:proofErr w:type="gramStart"/>
      <w:r w:rsidRPr="00AD6846">
        <w:t>смета</w:t>
      </w:r>
      <w:proofErr w:type="gramEnd"/>
      <w:r w:rsidRPr="00AD6846">
        <w:t>, пыли и мелкого бытового мусора, их мойка;</w:t>
      </w:r>
    </w:p>
    <w:p w:rsidR="00FA6B07" w:rsidRPr="00AD6846" w:rsidRDefault="00FA6B07" w:rsidP="00FA6B07">
      <w:pPr>
        <w:ind w:firstLine="709"/>
        <w:jc w:val="both"/>
      </w:pPr>
      <w:r w:rsidRPr="00AD6846"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  <w:jc w:val="both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  <w:jc w:val="both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FA6B07" w:rsidRPr="00AD6846" w:rsidRDefault="00FA6B07" w:rsidP="00FA6B07">
      <w:pPr>
        <w:ind w:firstLine="709"/>
        <w:jc w:val="both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  <w:jc w:val="both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  <w:jc w:val="both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</w:t>
      </w:r>
      <w:r w:rsidR="001E1E84">
        <w:t>администрация СП «Деревня Верховая</w:t>
      </w:r>
      <w:r w:rsidRPr="00AD6846">
        <w:t>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  <w:jc w:val="both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  <w:jc w:val="both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  <w:jc w:val="both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  <w:jc w:val="both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  <w:jc w:val="both"/>
      </w:pPr>
      <w:r>
        <w:t>64</w:t>
      </w:r>
      <w:r w:rsidRPr="00AD6846">
        <w:t>. Форма участия определяется а</w:t>
      </w:r>
      <w:r w:rsidR="001E1E84">
        <w:t>дминистрацией СП «Деревня Верховая</w:t>
      </w:r>
      <w:r w:rsidRPr="00AD6846"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  <w:jc w:val="both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  <w:jc w:val="both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  <w:jc w:val="both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  <w:jc w:val="both"/>
      </w:pPr>
      <w:r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  <w:jc w:val="both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  <w:jc w:val="both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  <w:jc w:val="both"/>
      </w:pPr>
      <w:r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>
        <w:lastRenderedPageBreak/>
        <w:t>67</w:t>
      </w:r>
      <w:r w:rsidRPr="00AD6846">
        <w:t xml:space="preserve">. </w:t>
      </w:r>
      <w:proofErr w:type="gramStart"/>
      <w:r w:rsidRPr="00AD6846">
        <w:t>Контроль за</w:t>
      </w:r>
      <w:proofErr w:type="gramEnd"/>
      <w:r w:rsidRPr="00AD6846">
        <w:t xml:space="preserve"> соблюдением настоящих Правил осуществ</w:t>
      </w:r>
      <w:r w:rsidR="001E1E84">
        <w:t>ляется администрацией СП «Деревня Верховая</w:t>
      </w:r>
      <w:r w:rsidRPr="00AD6846">
        <w:t>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  <w:jc w:val="both"/>
      </w:pPr>
    </w:p>
    <w:p w:rsidR="00396F84" w:rsidRPr="001D1F01" w:rsidRDefault="00C82142">
      <w:pPr>
        <w:spacing w:line="276" w:lineRule="auto"/>
        <w:ind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752B">
        <w:rPr>
          <w:b/>
          <w:sz w:val="32"/>
          <w:szCs w:val="32"/>
        </w:rPr>
        <w:t xml:space="preserve"> </w:t>
      </w: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E3F78"/>
    <w:rsid w:val="000F4B70"/>
    <w:rsid w:val="00130FE6"/>
    <w:rsid w:val="00157891"/>
    <w:rsid w:val="0017285A"/>
    <w:rsid w:val="00172B92"/>
    <w:rsid w:val="0017560D"/>
    <w:rsid w:val="001761BB"/>
    <w:rsid w:val="001A25BB"/>
    <w:rsid w:val="001D1F01"/>
    <w:rsid w:val="001E1E84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50091D"/>
    <w:rsid w:val="00543948"/>
    <w:rsid w:val="00545B27"/>
    <w:rsid w:val="00552ACE"/>
    <w:rsid w:val="0055434A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10BC9"/>
    <w:rsid w:val="00927B54"/>
    <w:rsid w:val="00944CC5"/>
    <w:rsid w:val="00965363"/>
    <w:rsid w:val="00970DE7"/>
    <w:rsid w:val="009B32FA"/>
    <w:rsid w:val="009D72F5"/>
    <w:rsid w:val="009F129E"/>
    <w:rsid w:val="009F30CD"/>
    <w:rsid w:val="00A07600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502C6"/>
    <w:rsid w:val="00B760F6"/>
    <w:rsid w:val="00BF64A4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47F4F"/>
    <w:rsid w:val="00E60735"/>
    <w:rsid w:val="00EE0FC0"/>
    <w:rsid w:val="00F00D49"/>
    <w:rsid w:val="00F03A6C"/>
    <w:rsid w:val="00F21CDB"/>
    <w:rsid w:val="00F320BD"/>
    <w:rsid w:val="00F32A4C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5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A12F6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"/>
    <w:next w:val="a"/>
    <w:qFormat/>
    <w:rsid w:val="008A12F6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406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autoSpaceDE/>
      <w:autoSpaceDN/>
      <w:spacing w:before="100" w:after="120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uiPriority w:val="99"/>
    <w:unhideWhenUsed/>
    <w:rsid w:val="00711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D3EF2BD893733735B02EAF343C8E972687F152DF98E3s5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5" Type="http://schemas.openxmlformats.org/officeDocument/2006/relationships/hyperlink" Target="consultantplus://offline/ref=5F244C21D223475AC3D0CDE23DB4CD7D3139E921AC3432DDC379DCAC05sDa6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46387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www.PHILka.RU</cp:lastModifiedBy>
  <cp:revision>11</cp:revision>
  <cp:lastPrinted>2018-12-26T08:51:00Z</cp:lastPrinted>
  <dcterms:created xsi:type="dcterms:W3CDTF">2018-12-25T12:00:00Z</dcterms:created>
  <dcterms:modified xsi:type="dcterms:W3CDTF">2018-12-26T09:12:00Z</dcterms:modified>
</cp:coreProperties>
</file>