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F67E41">
        <w:rPr>
          <w:rFonts w:ascii="Times New Roman" w:hAnsi="Times New Roman" w:cs="Times New Roman"/>
          <w:sz w:val="36"/>
          <w:szCs w:val="36"/>
        </w:rPr>
        <w:t>Село Стрельна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F67E41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07.05.2020г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№ 20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  <w:bookmarkStart w:id="0" w:name="_GoBack"/>
      <w:bookmarkEnd w:id="0"/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</w:t>
      </w:r>
      <w:r w:rsidR="00F67E41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Село Стрельна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F67E41">
        <w:rPr>
          <w:rFonts w:ascii="Times New Roman" w:hAnsi="Times New Roman" w:cs="Times New Roman"/>
          <w:sz w:val="28"/>
          <w:szCs w:val="28"/>
        </w:rPr>
        <w:t>Село Стрельна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72756" w:rsidRPr="00D727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7E41">
        <w:rPr>
          <w:rFonts w:ascii="Times New Roman" w:hAnsi="Times New Roman" w:cs="Times New Roman"/>
          <w:color w:val="000000" w:themeColor="text1"/>
          <w:sz w:val="28"/>
          <w:szCs w:val="28"/>
        </w:rPr>
        <w:t>Село Стрельна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7E41">
        <w:rPr>
          <w:rFonts w:ascii="Times New Roman" w:hAnsi="Times New Roman" w:cs="Times New Roman"/>
          <w:color w:val="000000" w:themeColor="text1"/>
          <w:sz w:val="28"/>
          <w:szCs w:val="28"/>
        </w:rPr>
        <w:t>Село Стрельна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F67E41">
        <w:rPr>
          <w:rFonts w:ascii="Times New Roman" w:hAnsi="Times New Roman" w:cs="Times New Roman"/>
          <w:sz w:val="28"/>
          <w:szCs w:val="28"/>
        </w:rPr>
        <w:t>Село Стрельна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</w:t>
      </w:r>
      <w:proofErr w:type="gramStart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«</w:t>
      </w:r>
      <w:r w:rsidR="00F67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Село Стрельна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                   </w:t>
      </w:r>
      <w:r w:rsidR="00F67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Е.Е. Москвичева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>СП «</w:t>
      </w:r>
      <w:r w:rsidR="00F67E41">
        <w:rPr>
          <w:rFonts w:ascii="Times New Roman" w:hAnsi="Times New Roman" w:cs="Times New Roman"/>
          <w:sz w:val="28"/>
          <w:szCs w:val="28"/>
        </w:rPr>
        <w:t>Село Стрельна</w:t>
      </w:r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от ________ № ____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F67E41">
        <w:rPr>
          <w:sz w:val="28"/>
          <w:szCs w:val="28"/>
        </w:rPr>
        <w:t>Село Стрельна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</w:t>
      </w:r>
      <w:r w:rsidR="00F67E41">
        <w:rPr>
          <w:rFonts w:ascii="Times New Roman" w:hAnsi="Times New Roman" w:cs="Times New Roman"/>
          <w:sz w:val="28"/>
          <w:szCs w:val="28"/>
        </w:rPr>
        <w:t>Село Стрельна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</w:t>
      </w:r>
      <w:r w:rsidR="00F67E41">
        <w:rPr>
          <w:rFonts w:ascii="Times New Roman" w:hAnsi="Times New Roman" w:cs="Times New Roman"/>
          <w:sz w:val="28"/>
          <w:szCs w:val="28"/>
        </w:rPr>
        <w:t>Село Стрельна</w:t>
      </w:r>
      <w:r w:rsidRPr="00BE6E4B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финансов </w:t>
      </w:r>
      <w:proofErr w:type="spellStart"/>
      <w:r w:rsidRPr="00BE6E4B">
        <w:rPr>
          <w:rFonts w:ascii="Times New Roman" w:hAnsi="Times New Roman" w:cs="Times New Roman"/>
          <w:bCs/>
          <w:sz w:val="28"/>
          <w:szCs w:val="28"/>
        </w:rPr>
        <w:t>админстрации</w:t>
      </w:r>
      <w:proofErr w:type="spellEnd"/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МР «</w:t>
      </w:r>
      <w:proofErr w:type="spellStart"/>
      <w:r w:rsidRPr="00BE6E4B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BE6E4B">
        <w:rPr>
          <w:rFonts w:ascii="Times New Roman" w:hAnsi="Times New Roman" w:cs="Times New Roman"/>
          <w:bCs/>
          <w:sz w:val="28"/>
          <w:szCs w:val="28"/>
        </w:rPr>
        <w:t xml:space="preserve"> район»  на основании </w:t>
      </w:r>
      <w:r w:rsidRPr="00BE6E4B">
        <w:rPr>
          <w:rFonts w:ascii="Times New Roman" w:hAnsi="Times New Roman" w:cs="Times New Roman"/>
          <w:bCs/>
          <w:color w:val="FF0000"/>
          <w:sz w:val="28"/>
          <w:szCs w:val="28"/>
        </w:rPr>
        <w:t>Соглашения о передаче полномочий (Решение Сельской Думы СП «</w:t>
      </w:r>
      <w:r w:rsidR="00F67E4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Село Стрельна» от 25.12.2019г </w:t>
      </w:r>
      <w:r w:rsidRPr="00BE6E4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№ </w:t>
      </w:r>
      <w:r w:rsidR="00F67E41">
        <w:rPr>
          <w:rFonts w:ascii="Times New Roman" w:hAnsi="Times New Roman" w:cs="Times New Roman"/>
          <w:bCs/>
          <w:color w:val="FF0000"/>
          <w:sz w:val="28"/>
          <w:szCs w:val="28"/>
        </w:rPr>
        <w:t>231</w:t>
      </w:r>
      <w:r w:rsidRPr="00BE6E4B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сельское поселение «</w:t>
      </w:r>
      <w:r w:rsidR="00F67E41">
        <w:rPr>
          <w:rFonts w:ascii="Times New Roman" w:hAnsi="Times New Roman" w:cs="Times New Roman"/>
          <w:bCs/>
          <w:sz w:val="28"/>
          <w:szCs w:val="28"/>
        </w:rPr>
        <w:t>Село Стрельна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F67E41">
        <w:rPr>
          <w:rFonts w:ascii="Times New Roman" w:hAnsi="Times New Roman" w:cs="Times New Roman"/>
          <w:bCs/>
          <w:sz w:val="28"/>
          <w:szCs w:val="28"/>
        </w:rPr>
        <w:t>Село Стрельна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F67E41">
        <w:rPr>
          <w:rFonts w:ascii="Times New Roman" w:hAnsi="Times New Roman" w:cs="Times New Roman"/>
          <w:bCs/>
          <w:sz w:val="28"/>
          <w:szCs w:val="28"/>
        </w:rPr>
        <w:t>Село Стрельна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  <w:proofErr w:type="gramEnd"/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  <w:proofErr w:type="gramEnd"/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2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proofErr w:type="gramStart"/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proofErr w:type="gramEnd"/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Код </w:t>
            </w: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долгового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муници-палитета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(по </w:t>
            </w:r>
            <w:proofErr w:type="spellStart"/>
            <w:r w:rsidRPr="00D72756">
              <w:rPr>
                <w:rStyle w:val="9pt0pt0"/>
                <w:rFonts w:eastAsia="Calibri"/>
                <w:sz w:val="24"/>
                <w:szCs w:val="24"/>
              </w:rPr>
              <w:t>спра-вочнику</w:t>
            </w:r>
            <w:proofErr w:type="spellEnd"/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Общий объем долгового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обязатель-ства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договору (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соглаше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ленном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обеспече-нии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прин-ципала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принци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-пала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76" w:rsidRDefault="00806776">
      <w:pPr>
        <w:spacing w:after="0" w:line="240" w:lineRule="auto"/>
      </w:pPr>
      <w:r>
        <w:separator/>
      </w:r>
    </w:p>
  </w:endnote>
  <w:endnote w:type="continuationSeparator" w:id="0">
    <w:p w:rsidR="00806776" w:rsidRDefault="008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BB" w:rsidRDefault="00D52D3A" w:rsidP="00D00358">
    <w:pPr>
      <w:pStyle w:val="ac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411BB" w:rsidRDefault="0080677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76" w:rsidRDefault="00806776">
      <w:pPr>
        <w:spacing w:after="0" w:line="240" w:lineRule="auto"/>
      </w:pPr>
      <w:r>
        <w:separator/>
      </w:r>
    </w:p>
  </w:footnote>
  <w:footnote w:type="continuationSeparator" w:id="0">
    <w:p w:rsidR="00806776" w:rsidRDefault="008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B4"/>
    <w:rsid w:val="000F22B2"/>
    <w:rsid w:val="00100AE0"/>
    <w:rsid w:val="00130117"/>
    <w:rsid w:val="00202C75"/>
    <w:rsid w:val="00345BD1"/>
    <w:rsid w:val="005001E4"/>
    <w:rsid w:val="007221B4"/>
    <w:rsid w:val="00806776"/>
    <w:rsid w:val="0089297A"/>
    <w:rsid w:val="00AB7396"/>
    <w:rsid w:val="00C76C6A"/>
    <w:rsid w:val="00CD4577"/>
    <w:rsid w:val="00D52D3A"/>
    <w:rsid w:val="00D72756"/>
    <w:rsid w:val="00D97B9A"/>
    <w:rsid w:val="00F67E41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9845-4B9E-47B4-B2CA-C92834D4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2</cp:revision>
  <cp:lastPrinted>2020-05-08T08:23:00Z</cp:lastPrinted>
  <dcterms:created xsi:type="dcterms:W3CDTF">2020-05-08T08:24:00Z</dcterms:created>
  <dcterms:modified xsi:type="dcterms:W3CDTF">2020-05-08T08:24:00Z</dcterms:modified>
</cp:coreProperties>
</file>