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9F" w:rsidRDefault="00714C9F" w:rsidP="00714C9F">
      <w:pPr>
        <w:pStyle w:val="4"/>
        <w:shd w:val="clear" w:color="auto" w:fill="FFFFFF"/>
        <w:spacing w:before="0"/>
        <w:jc w:val="center"/>
        <w:rPr>
          <w:rFonts w:ascii="Poppins" w:hAnsi="Poppins"/>
          <w:color w:val="13388C"/>
          <w:sz w:val="54"/>
          <w:szCs w:val="54"/>
        </w:rPr>
      </w:pPr>
      <w:r>
        <w:rPr>
          <w:rFonts w:ascii="Poppins" w:hAnsi="Poppins"/>
          <w:b/>
          <w:bCs/>
          <w:color w:val="13388C"/>
          <w:sz w:val="54"/>
          <w:szCs w:val="54"/>
        </w:rPr>
        <w:t>Меры поддержки на территории калужской области:</w:t>
      </w:r>
    </w:p>
    <w:p w:rsidR="00714C9F" w:rsidRDefault="00714C9F" w:rsidP="00714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Пунктом 20 ст. 3 Закона Калужской области от 11.2003 № 263-ОЗ «О налоге на имущество организаций» предусмотрены налоговые льготы на имущество для организаций-концессионеров в отношении следующих объектов концессионного соглашения: объектов теплоснабжения, централизованных систем горячего водоснабжения, холодного водоснабжения и (или) водоотведения, также объектов образования, предназначенных для реализации образовательных программ начального общего, основного общего и среднего общего образования.</w:t>
      </w:r>
    </w:p>
    <w:p w:rsidR="00714C9F" w:rsidRDefault="00714C9F" w:rsidP="00714C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С 1 марта 2022 года на основании Закона Калужской области от 05.03.2022 № 199-ОЗ «Об освобождении от арендной платы за использование имущества (в том числе земельных участков), находящегося в государственной собственности Калужской области», арендаторы, являющиеся субъектами малого и среднего предпринимательства, включенные по состоянию на 1 марта 2022 года в единый реестр субъектов малого и среднего предпринимательства, освобождаются от арендной платы по договорам аренды имущества и земельных участков, находящихся в государственной собственности Калужской области. Срок действия указанной меры поддержки до 01.01.2023.</w:t>
      </w:r>
    </w:p>
    <w:p w:rsidR="00714C9F" w:rsidRDefault="00714C9F" w:rsidP="00714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Определен порядок принятия решений по подготовке и реализации бюджетных инвестиций в объекты государственной собственности Калужской области (Постановление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области»).</w:t>
      </w:r>
    </w:p>
    <w:p w:rsidR="00714C9F" w:rsidRDefault="00714C9F" w:rsidP="00714C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 xml:space="preserve">Часть затрат концессионеров, связанных со строительством (реконструкцией) объектов капитального строительства </w:t>
      </w:r>
      <w:proofErr w:type="gramStart"/>
      <w:r>
        <w:rPr>
          <w:rFonts w:ascii="Arial" w:hAnsi="Arial" w:cs="Arial"/>
          <w:color w:val="092331"/>
          <w:sz w:val="27"/>
          <w:szCs w:val="27"/>
        </w:rPr>
        <w:t>в рамках</w:t>
      </w:r>
      <w:proofErr w:type="gramEnd"/>
      <w:r>
        <w:rPr>
          <w:rFonts w:ascii="Arial" w:hAnsi="Arial" w:cs="Arial"/>
          <w:color w:val="092331"/>
          <w:sz w:val="27"/>
          <w:szCs w:val="27"/>
        </w:rPr>
        <w:t xml:space="preserve"> предполагаемых к заключению концессионных соглашений, может финансироваться из регионального инвестиционного фонда Калужской области (Постановление Правительства Калужской области от 08.09.2014 № 529 «Об утверждении Положения о порядке формирования и использования бюджетных ассигнований регионального инвестиционного фонда Калужской области»).</w:t>
      </w:r>
    </w:p>
    <w:p w:rsidR="00714C9F" w:rsidRDefault="00714C9F" w:rsidP="00714C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 xml:space="preserve">Определен порядок принятия решений о заключении концессионных соглашений и соглашений о ГЧП от имени Калужской области на срок, превышающий срок действия утвержденных лимитов бюджетных обязательств (Постановление </w:t>
      </w:r>
      <w:r>
        <w:rPr>
          <w:rFonts w:ascii="Arial" w:hAnsi="Arial" w:cs="Arial"/>
          <w:color w:val="092331"/>
          <w:sz w:val="27"/>
          <w:szCs w:val="27"/>
        </w:rPr>
        <w:lastRenderedPageBreak/>
        <w:t>Правительства Калужской области от 30.01.2018 № 63 «Об утверждении Положения о порядке принятия решений о заключении договоров (соглашений) о предоставлении субсидий из областного бюджета юридическим лицам, указанным в пунктах 1 и 8 статьи 78 Бюджетного кодекса Российской Федерации, и заключении соглашений о государственно-частном партнерстве, концессионных соглашений от имени Калужской области на срок, превышающий срок действия утвержденных лимитов бюджетных  обязательств»).</w:t>
      </w:r>
    </w:p>
    <w:p w:rsidR="00714C9F" w:rsidRDefault="00714C9F" w:rsidP="00714C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 xml:space="preserve">Постановлением Правительства Калужской области от 26.03.2019 № 175 «Об утверждении государственной программы Калужской области «Энергосбережение и повышение </w:t>
      </w:r>
      <w:proofErr w:type="spellStart"/>
      <w:r>
        <w:rPr>
          <w:rFonts w:ascii="Arial" w:hAnsi="Arial" w:cs="Arial"/>
          <w:color w:val="092331"/>
          <w:sz w:val="27"/>
          <w:szCs w:val="27"/>
        </w:rPr>
        <w:t>энергоэффективности</w:t>
      </w:r>
      <w:proofErr w:type="spellEnd"/>
      <w:r>
        <w:rPr>
          <w:rFonts w:ascii="Arial" w:hAnsi="Arial" w:cs="Arial"/>
          <w:color w:val="092331"/>
          <w:sz w:val="27"/>
          <w:szCs w:val="27"/>
        </w:rPr>
        <w:t xml:space="preserve"> в Калужской области» утвержден Порядок предоставления и распределения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водоотведения.</w:t>
      </w:r>
    </w:p>
    <w:p w:rsidR="00714C9F" w:rsidRDefault="00714C9F" w:rsidP="00714C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Приказом Министерства строительства и жилищно-коммунального хозяйства Калужской области от 12.04.2018 № 126 «Об утверждении порядка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модернизации», в соответствии с Постановлением Правительства Российской Федерации от 25.08.2017 № 997 «О реализации мер финансовой поддержки за счет средств государственной корпорации — Фонда содействия реформированию жилищно-коммунального хозяйства и внесении изменений в некоторые акты Правительства Российской Федерации», утвержден порядок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модернизации.</w:t>
      </w:r>
    </w:p>
    <w:p w:rsidR="00714C9F" w:rsidRDefault="00714C9F" w:rsidP="00714C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Предусмотрено предоставление субсидий на возмещение недополученных доходов по концессионным соглашениям в отношении объектов железнодорожной инфраструктуры, обеспечивающей деятельность особой экономической зоны (</w:t>
      </w:r>
      <w:proofErr w:type="gramStart"/>
      <w:r>
        <w:rPr>
          <w:rFonts w:ascii="Arial" w:hAnsi="Arial" w:cs="Arial"/>
          <w:color w:val="092331"/>
          <w:sz w:val="27"/>
          <w:szCs w:val="27"/>
        </w:rPr>
        <w:t>Постановление  Правительства</w:t>
      </w:r>
      <w:proofErr w:type="gramEnd"/>
      <w:r>
        <w:rPr>
          <w:rFonts w:ascii="Arial" w:hAnsi="Arial" w:cs="Arial"/>
          <w:color w:val="092331"/>
          <w:sz w:val="27"/>
          <w:szCs w:val="27"/>
        </w:rPr>
        <w:t>   Калужской    области    от    25.03.2019 № 171 «Об утверждении государственной программы Калужской области «Экономическое развитие в Калужской области»).</w:t>
      </w:r>
    </w:p>
    <w:p w:rsidR="00A169AA" w:rsidRPr="00714C9F" w:rsidRDefault="00A169AA" w:rsidP="00714C9F">
      <w:bookmarkStart w:id="0" w:name="_GoBack"/>
      <w:bookmarkEnd w:id="0"/>
    </w:p>
    <w:sectPr w:rsidR="00A169AA" w:rsidRPr="0071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310"/>
    <w:multiLevelType w:val="multilevel"/>
    <w:tmpl w:val="B71C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96998"/>
    <w:multiLevelType w:val="multilevel"/>
    <w:tmpl w:val="59A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A3821"/>
    <w:multiLevelType w:val="multilevel"/>
    <w:tmpl w:val="1B0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72C85"/>
    <w:multiLevelType w:val="multilevel"/>
    <w:tmpl w:val="513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05A2A"/>
    <w:multiLevelType w:val="multilevel"/>
    <w:tmpl w:val="A84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50060"/>
    <w:multiLevelType w:val="multilevel"/>
    <w:tmpl w:val="1F06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E6BE5"/>
    <w:multiLevelType w:val="multilevel"/>
    <w:tmpl w:val="F56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B669D"/>
    <w:multiLevelType w:val="multilevel"/>
    <w:tmpl w:val="DD78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9327F"/>
    <w:multiLevelType w:val="multilevel"/>
    <w:tmpl w:val="F3B4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2518B"/>
    <w:multiLevelType w:val="multilevel"/>
    <w:tmpl w:val="F2E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5"/>
    <w:rsid w:val="0007502C"/>
    <w:rsid w:val="003E4617"/>
    <w:rsid w:val="006031F5"/>
    <w:rsid w:val="006612ED"/>
    <w:rsid w:val="00714C9F"/>
    <w:rsid w:val="00A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2CAF-2F21-4E6A-BB53-C54D0B3F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2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6</cp:revision>
  <dcterms:created xsi:type="dcterms:W3CDTF">2022-11-09T07:55:00Z</dcterms:created>
  <dcterms:modified xsi:type="dcterms:W3CDTF">2022-11-09T07:59:00Z</dcterms:modified>
</cp:coreProperties>
</file>