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4" w:rsidRPr="00A02A73" w:rsidRDefault="00A07B44" w:rsidP="00A07B44">
      <w:pPr>
        <w:spacing w:line="276" w:lineRule="auto"/>
        <w:jc w:val="center"/>
        <w:rPr>
          <w:noProof/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A02A73" w:rsidRDefault="00A07B44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color w:val="000000" w:themeColor="text1"/>
          <w:sz w:val="36"/>
          <w:szCs w:val="36"/>
        </w:rPr>
        <w:t>Администрация сельского поселения</w:t>
      </w:r>
    </w:p>
    <w:p w:rsidR="00A07B44" w:rsidRPr="00A02A73" w:rsidRDefault="00C34082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«</w:t>
      </w:r>
      <w:r w:rsidR="00D70BD1">
        <w:rPr>
          <w:color w:val="000000" w:themeColor="text1"/>
          <w:sz w:val="36"/>
          <w:szCs w:val="36"/>
        </w:rPr>
        <w:t>Село Татаринцы</w:t>
      </w:r>
      <w:r w:rsidRPr="00A02A73">
        <w:rPr>
          <w:color w:val="000000" w:themeColor="text1"/>
          <w:sz w:val="36"/>
          <w:szCs w:val="36"/>
        </w:rPr>
        <w:t>»</w:t>
      </w:r>
    </w:p>
    <w:p w:rsidR="00A07B44" w:rsidRPr="00A02A73" w:rsidRDefault="00A07B44" w:rsidP="00A07B44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A02A73">
        <w:rPr>
          <w:b w:val="0"/>
          <w:color w:val="000000" w:themeColor="text1"/>
          <w:sz w:val="32"/>
          <w:szCs w:val="36"/>
        </w:rPr>
        <w:t>Калужская область</w:t>
      </w:r>
    </w:p>
    <w:p w:rsidR="00A07B44" w:rsidRPr="00A02A73" w:rsidRDefault="00A07B44" w:rsidP="00A07B44">
      <w:pPr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ПОСТАНОВЛЕНИЕ</w:t>
      </w:r>
    </w:p>
    <w:p w:rsidR="00A07B44" w:rsidRPr="00A02A73" w:rsidRDefault="00A07B44" w:rsidP="00A07B4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7B44" w:rsidRPr="00A02A73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D70BD1" w:rsidRDefault="00D70BD1" w:rsidP="00C079CB">
            <w:pPr>
              <w:rPr>
                <w:color w:val="000000" w:themeColor="text1"/>
              </w:rPr>
            </w:pPr>
            <w:r w:rsidRPr="00D70BD1">
              <w:rPr>
                <w:color w:val="000000" w:themeColor="text1"/>
              </w:rPr>
              <w:t xml:space="preserve">от  06.07.2023г                                                         </w:t>
            </w:r>
            <w:r w:rsidR="00A07B44" w:rsidRPr="00D70BD1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A07B44" w:rsidRPr="00D70BD1" w:rsidRDefault="00A07B44" w:rsidP="00C079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A07B44" w:rsidRPr="00D70BD1" w:rsidRDefault="00D70BD1" w:rsidP="00C079CB">
            <w:pPr>
              <w:rPr>
                <w:color w:val="000000" w:themeColor="text1"/>
              </w:rPr>
            </w:pPr>
            <w:r w:rsidRPr="00D70BD1">
              <w:rPr>
                <w:color w:val="000000" w:themeColor="text1"/>
              </w:rPr>
              <w:t xml:space="preserve">                              №  17</w:t>
            </w:r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D70BD1" w:rsidRDefault="00A07B44" w:rsidP="00C079C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D70BD1" w:rsidRDefault="00A07B44" w:rsidP="00C079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D70BD1" w:rsidRDefault="00A07B44" w:rsidP="00C079CB">
            <w:pPr>
              <w:jc w:val="right"/>
              <w:rPr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и срокам информирования граждан, принятых на</w:t>
      </w:r>
      <w:bookmarkStart w:id="0" w:name="_GoBack"/>
      <w:bookmarkEnd w:id="0"/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учет нуждающихся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A02A73">
        <w:rPr>
          <w:rFonts w:cs="Arial"/>
          <w:b w:val="0"/>
          <w:color w:val="000000" w:themeColor="text1"/>
          <w:sz w:val="28"/>
          <w:szCs w:val="28"/>
        </w:rPr>
        <w:t>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</w:t>
      </w:r>
      <w:proofErr w:type="gramEnd"/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D70BD1">
        <w:rPr>
          <w:rFonts w:cs="Arial"/>
          <w:b w:val="0"/>
          <w:color w:val="000000" w:themeColor="text1"/>
          <w:sz w:val="28"/>
          <w:szCs w:val="28"/>
        </w:rPr>
        <w:t>Село Татаринцы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D70BD1">
        <w:rPr>
          <w:rFonts w:cs="Arial"/>
          <w:b w:val="0"/>
          <w:color w:val="000000" w:themeColor="text1"/>
          <w:sz w:val="28"/>
          <w:szCs w:val="28"/>
        </w:rPr>
        <w:t>Село Татаринцы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r w:rsidR="00A07B44" w:rsidRPr="00A02A73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A07B44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C34082" w:rsidRPr="00A02A73">
        <w:rPr>
          <w:color w:val="000000" w:themeColor="text1"/>
          <w:sz w:val="28"/>
          <w:szCs w:val="28"/>
        </w:rPr>
        <w:t>«</w:t>
      </w:r>
      <w:r w:rsidR="00D70BD1">
        <w:rPr>
          <w:color w:val="000000" w:themeColor="text1"/>
          <w:sz w:val="28"/>
          <w:szCs w:val="28"/>
        </w:rPr>
        <w:t xml:space="preserve">Село </w:t>
      </w:r>
      <w:proofErr w:type="gramStart"/>
      <w:r w:rsidR="00D70BD1">
        <w:rPr>
          <w:color w:val="000000" w:themeColor="text1"/>
          <w:sz w:val="28"/>
          <w:szCs w:val="28"/>
        </w:rPr>
        <w:t>Татаринцы</w:t>
      </w:r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</w:t>
      </w:r>
      <w:proofErr w:type="gramEnd"/>
      <w:r w:rsidR="00D22F9B" w:rsidRPr="00A02A73">
        <w:rPr>
          <w:color w:val="000000" w:themeColor="text1"/>
          <w:sz w:val="28"/>
          <w:szCs w:val="28"/>
        </w:rPr>
        <w:t xml:space="preserve">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D22F9B" w:rsidRPr="00A02A73">
        <w:rPr>
          <w:color w:val="000000" w:themeColor="text1"/>
          <w:sz w:val="28"/>
          <w:szCs w:val="28"/>
        </w:rPr>
        <w:t xml:space="preserve">            </w:t>
      </w:r>
      <w:r w:rsidR="00A07B44" w:rsidRPr="00A02A73">
        <w:rPr>
          <w:color w:val="000000" w:themeColor="text1"/>
          <w:sz w:val="28"/>
          <w:szCs w:val="28"/>
        </w:rPr>
        <w:t xml:space="preserve">  </w:t>
      </w:r>
      <w:proofErr w:type="spellStart"/>
      <w:r w:rsidR="00D70BD1">
        <w:rPr>
          <w:color w:val="000000" w:themeColor="text1"/>
          <w:sz w:val="28"/>
          <w:szCs w:val="28"/>
        </w:rPr>
        <w:t>Т.А.Козырева</w:t>
      </w:r>
      <w:proofErr w:type="spellEnd"/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lastRenderedPageBreak/>
        <w:t>Приложение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к постановлению администрации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СП «</w:t>
      </w:r>
      <w:r w:rsidR="00D70BD1">
        <w:rPr>
          <w:color w:val="000000" w:themeColor="text1"/>
          <w:sz w:val="28"/>
          <w:szCs w:val="28"/>
        </w:rPr>
        <w:t>Село Татаринцы</w:t>
      </w:r>
      <w:r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D70BD1" w:rsidP="008D56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06.07.2023г </w:t>
      </w:r>
      <w:proofErr w:type="gramStart"/>
      <w:r>
        <w:rPr>
          <w:color w:val="000000" w:themeColor="text1"/>
          <w:sz w:val="28"/>
          <w:szCs w:val="28"/>
        </w:rPr>
        <w:t>№  17</w:t>
      </w:r>
      <w:proofErr w:type="gramEnd"/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предоставляющие или имеющие намерение предоставлять на территории сельского поселения «</w:t>
      </w:r>
      <w:r w:rsidR="00D70BD1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должны представлять в администрацию сельского поселения «</w:t>
      </w:r>
      <w:r w:rsidR="00D70BD1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соответствии с земельным законодательством для строительства наемного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администрацией сельского поселения «</w:t>
      </w:r>
      <w:r w:rsidR="00D70BD1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«Сухиничский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«</w:t>
      </w:r>
      <w:r w:rsidR="00D70BD1">
        <w:rPr>
          <w:rFonts w:ascii="Times New Roman" w:hAnsi="Times New Roman" w:cs="Times New Roman"/>
          <w:color w:val="000000" w:themeColor="text1"/>
          <w:sz w:val="28"/>
          <w:szCs w:val="28"/>
        </w:rPr>
        <w:t>Село Татаринцы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44"/>
    <w:rsid w:val="00051F0C"/>
    <w:rsid w:val="00314406"/>
    <w:rsid w:val="003229D9"/>
    <w:rsid w:val="006A4F9E"/>
    <w:rsid w:val="006E6747"/>
    <w:rsid w:val="008C0791"/>
    <w:rsid w:val="008D5639"/>
    <w:rsid w:val="008F7B4A"/>
    <w:rsid w:val="009242C1"/>
    <w:rsid w:val="00A02A73"/>
    <w:rsid w:val="00A07B44"/>
    <w:rsid w:val="00AC2EF4"/>
    <w:rsid w:val="00B9325A"/>
    <w:rsid w:val="00BE0054"/>
    <w:rsid w:val="00C34082"/>
    <w:rsid w:val="00D22F9B"/>
    <w:rsid w:val="00D2409B"/>
    <w:rsid w:val="00D70BD1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3E13"/>
  <w15:docId w15:val="{8C6C8457-7330-4251-B0A5-F94544B8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2023-09-06T08:04:00Z</cp:lastPrinted>
  <dcterms:created xsi:type="dcterms:W3CDTF">2023-08-30T11:36:00Z</dcterms:created>
  <dcterms:modified xsi:type="dcterms:W3CDTF">2023-09-06T08:04:00Z</dcterms:modified>
</cp:coreProperties>
</file>