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2C2651">
        <w:rPr>
          <w:rFonts w:ascii="Times New Roman" w:hAnsi="Times New Roman"/>
          <w:sz w:val="36"/>
          <w:szCs w:val="36"/>
        </w:rPr>
        <w:t>Деревня Верховая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B65B5B" w:rsidP="00111B4A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111B4A" w:rsidRDefault="005D0838" w:rsidP="009121A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111B4A">
              <w:rPr>
                <w:rFonts w:ascii="Times New Roman" w:hAnsi="Times New Roman"/>
              </w:rPr>
              <w:t xml:space="preserve">№ 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2C2651">
        <w:rPr>
          <w:rFonts w:ascii="Times New Roman" w:hAnsi="Times New Roman"/>
          <w:b/>
          <w:sz w:val="28"/>
          <w:szCs w:val="28"/>
        </w:rPr>
        <w:t>Деревня Верховая</w:t>
      </w:r>
      <w:r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ставом сельского поселения «</w:t>
      </w:r>
      <w:r w:rsidR="002C2651">
        <w:rPr>
          <w:rFonts w:ascii="Times New Roman" w:hAnsi="Times New Roman" w:cs="Times New Roman"/>
          <w:color w:val="000000"/>
          <w:sz w:val="28"/>
          <w:szCs w:val="28"/>
        </w:rPr>
        <w:t>Деревня Верховая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2651">
        <w:rPr>
          <w:rFonts w:ascii="Times New Roman" w:hAnsi="Times New Roman" w:cs="Times New Roman"/>
          <w:sz w:val="28"/>
          <w:szCs w:val="28"/>
        </w:rPr>
        <w:t>Деревня Верховая</w:t>
      </w:r>
      <w:proofErr w:type="gram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2C2651">
        <w:rPr>
          <w:b w:val="0"/>
          <w:sz w:val="28"/>
          <w:szCs w:val="28"/>
        </w:rPr>
        <w:t>Деревня</w:t>
      </w:r>
      <w:r w:rsidR="00A8493E">
        <w:rPr>
          <w:b w:val="0"/>
          <w:sz w:val="28"/>
          <w:szCs w:val="28"/>
        </w:rPr>
        <w:t xml:space="preserve"> </w:t>
      </w:r>
      <w:r w:rsidR="002C2651">
        <w:rPr>
          <w:b w:val="0"/>
          <w:sz w:val="28"/>
          <w:szCs w:val="28"/>
        </w:rPr>
        <w:t>Верховая</w:t>
      </w:r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2C2651">
        <w:rPr>
          <w:rFonts w:ascii="Times New Roman" w:hAnsi="Times New Roman" w:cs="Times New Roman"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2C265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651">
        <w:rPr>
          <w:rFonts w:ascii="Times New Roman" w:hAnsi="Times New Roman" w:cs="Times New Roman"/>
          <w:sz w:val="28"/>
          <w:szCs w:val="28"/>
        </w:rPr>
        <w:t>С.М. Грачев</w:t>
      </w:r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2C2651">
        <w:rPr>
          <w:rFonts w:ascii="Times New Roman" w:hAnsi="Times New Roman"/>
          <w:sz w:val="28"/>
          <w:szCs w:val="28"/>
        </w:rPr>
        <w:t>Деревня Верховая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792474" w:rsidRPr="00111B4A" w:rsidRDefault="00111B4A" w:rsidP="00111B4A">
      <w:pPr>
        <w:shd w:val="clear" w:color="auto" w:fill="FFFFFF"/>
        <w:ind w:left="4678"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B65B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2C2651">
        <w:rPr>
          <w:rFonts w:ascii="Times New Roman" w:hAnsi="Times New Roman"/>
          <w:b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причинения вреда (ущерба) жилищного контроля.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 w:rsidR="002C2651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- осуществляет администрация сельского поселения «</w:t>
      </w:r>
      <w:r w:rsidR="002C2651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(далее – контрольный орган) в соответствии с Положением о муниципальном контроле в сфере благоустройства на территории сельского поселения «</w:t>
      </w:r>
      <w:r w:rsidR="002C2651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 (далее – Положение), утвержденным Решением Сельской Думы сельского поселения «</w:t>
      </w:r>
      <w:r w:rsidR="002C2651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 xml:space="preserve">» </w:t>
      </w:r>
      <w:r w:rsidR="00DF18A2" w:rsidRPr="00DF18A2">
        <w:rPr>
          <w:rFonts w:ascii="Times New Roman" w:hAnsi="Times New Roman"/>
          <w:color w:val="000000" w:themeColor="text1"/>
          <w:sz w:val="28"/>
          <w:szCs w:val="28"/>
        </w:rPr>
        <w:t>от16.06.2023г. №158</w:t>
      </w:r>
      <w:r w:rsidR="00DF18A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B2629" w:rsidRPr="005B2629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</w:t>
      </w:r>
      <w:r w:rsidR="00DF18A2">
        <w:rPr>
          <w:rFonts w:ascii="Times New Roman" w:hAnsi="Times New Roman"/>
          <w:sz w:val="28"/>
          <w:szCs w:val="28"/>
        </w:rPr>
        <w:t xml:space="preserve">Деревня </w:t>
      </w:r>
      <w:r w:rsidRPr="005B2629">
        <w:rPr>
          <w:rFonts w:ascii="Times New Roman" w:hAnsi="Times New Roman"/>
          <w:sz w:val="28"/>
          <w:szCs w:val="28"/>
        </w:rPr>
        <w:t xml:space="preserve"> </w:t>
      </w:r>
      <w:r w:rsidR="00DF18A2">
        <w:rPr>
          <w:rFonts w:ascii="Times New Roman" w:hAnsi="Times New Roman"/>
          <w:sz w:val="28"/>
          <w:szCs w:val="28"/>
        </w:rPr>
        <w:t>Верховая</w:t>
      </w:r>
      <w:r w:rsidRPr="005B2629">
        <w:rPr>
          <w:rFonts w:ascii="Times New Roman" w:hAnsi="Times New Roman"/>
          <w:sz w:val="28"/>
          <w:szCs w:val="28"/>
        </w:rPr>
        <w:t xml:space="preserve">» </w:t>
      </w:r>
      <w:r w:rsidRPr="00DF18A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F18A2" w:rsidRPr="00DF18A2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DF18A2">
        <w:rPr>
          <w:rFonts w:ascii="Times New Roman" w:hAnsi="Times New Roman"/>
          <w:color w:val="000000" w:themeColor="text1"/>
          <w:sz w:val="28"/>
          <w:szCs w:val="28"/>
        </w:rPr>
        <w:t xml:space="preserve">.06.2023 № </w:t>
      </w:r>
      <w:r w:rsidR="00DF18A2" w:rsidRPr="00DF18A2">
        <w:rPr>
          <w:rFonts w:ascii="Times New Roman" w:hAnsi="Times New Roman"/>
          <w:color w:val="000000" w:themeColor="text1"/>
          <w:sz w:val="28"/>
          <w:szCs w:val="28"/>
        </w:rPr>
        <w:t>158.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F18A2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F18A2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F18A2">
        <w:rPr>
          <w:rFonts w:ascii="Times New Roman" w:hAnsi="Times New Roman"/>
          <w:bCs/>
          <w:sz w:val="28"/>
          <w:szCs w:val="28"/>
        </w:rPr>
        <w:t>Деревня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DF18A2">
        <w:rPr>
          <w:rFonts w:ascii="Times New Roman" w:hAnsi="Times New Roman"/>
          <w:bCs/>
          <w:sz w:val="28"/>
          <w:szCs w:val="28"/>
        </w:rPr>
        <w:t>Верховая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DF18A2">
        <w:rPr>
          <w:rFonts w:ascii="Times New Roman" w:hAnsi="Times New Roman"/>
          <w:bCs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DF18A2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</w:t>
      </w:r>
      <w:proofErr w:type="gramStart"/>
      <w:r w:rsidRPr="00D95F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DF18A2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DF18A2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DF18A2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2. Цели и задачи </w:t>
      </w:r>
      <w:proofErr w:type="gramStart"/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proofErr w:type="gramStart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»в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сети«Интернет»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DF18A2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111B4A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В течение года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5B2629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111B4A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DF18A2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Уполномоченный сотрудник администрации СП «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Деревня 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  <w:proofErr w:type="gramStart"/>
            <w:r w:rsidRPr="00D95F04">
              <w:rPr>
                <w:rFonts w:ascii="Times New Roman" w:eastAsia="Arial" w:hAnsi="Times New Roman"/>
                <w:bCs/>
                <w:kern w:val="28"/>
              </w:rPr>
              <w:t>,е</w:t>
            </w:r>
            <w:proofErr w:type="gramEnd"/>
            <w:r w:rsidRPr="00D95F04">
              <w:rPr>
                <w:rFonts w:ascii="Times New Roman" w:eastAsia="Arial" w:hAnsi="Times New Roman"/>
                <w:bCs/>
                <w:kern w:val="28"/>
              </w:rPr>
              <w:t>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DF18A2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Деревня 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5B26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111B4A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5B2629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DF18A2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Деревня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DF18A2">
              <w:rPr>
                <w:rFonts w:ascii="Times New Roman" w:eastAsia="Arial" w:hAnsi="Times New Roman"/>
                <w:bCs/>
                <w:kern w:val="28"/>
              </w:rPr>
              <w:t>Верховая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95F04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DF18A2">
        <w:rPr>
          <w:rFonts w:ascii="Times New Roman" w:hAnsi="Times New Roman"/>
          <w:sz w:val="28"/>
          <w:szCs w:val="28"/>
        </w:rPr>
        <w:t>Деревня Верховая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 xml:space="preserve">№ </w:t>
            </w:r>
            <w:proofErr w:type="gramStart"/>
            <w:r w:rsidRPr="00D95F04">
              <w:rPr>
                <w:rFonts w:ascii="Times New Roman" w:hAnsi="Times New Roman"/>
                <w:b/>
                <w:bCs/>
                <w:kern w:val="28"/>
              </w:rPr>
              <w:t>п</w:t>
            </w:r>
            <w:proofErr w:type="gramEnd"/>
            <w:r w:rsidRPr="00D95F04">
              <w:rPr>
                <w:rFonts w:ascii="Times New Roman" w:hAnsi="Times New Roman"/>
                <w:b/>
                <w:bCs/>
                <w:kern w:val="28"/>
              </w:rPr>
              <w:t>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100% от числа </w:t>
            </w:r>
            <w:proofErr w:type="gramStart"/>
            <w:r w:rsidRPr="00D95F04">
              <w:rPr>
                <w:rFonts w:ascii="Times New Roman" w:hAnsi="Times New Roman"/>
                <w:bCs/>
                <w:kern w:val="28"/>
              </w:rPr>
              <w:t>обратившихся</w:t>
            </w:r>
            <w:proofErr w:type="gramEnd"/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5B2629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2474" w:rsidRPr="00D95F04" w:rsidRDefault="00792474" w:rsidP="00792474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792474" w:rsidRDefault="00792474" w:rsidP="00792474"/>
    <w:p w:rsidR="00794553" w:rsidRPr="002E575F" w:rsidRDefault="00794553" w:rsidP="007924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11B4A"/>
    <w:rsid w:val="001235B7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54F9B"/>
    <w:rsid w:val="0028267E"/>
    <w:rsid w:val="002C2651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14012"/>
    <w:rsid w:val="00A82B48"/>
    <w:rsid w:val="00A8493E"/>
    <w:rsid w:val="00A96BC9"/>
    <w:rsid w:val="00AC3805"/>
    <w:rsid w:val="00AD4128"/>
    <w:rsid w:val="00AF00A4"/>
    <w:rsid w:val="00B65B5B"/>
    <w:rsid w:val="00B677F8"/>
    <w:rsid w:val="00BB3CE7"/>
    <w:rsid w:val="00BD7BAF"/>
    <w:rsid w:val="00C14208"/>
    <w:rsid w:val="00C743C4"/>
    <w:rsid w:val="00CA260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18A2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9</cp:revision>
  <cp:lastPrinted>2020-11-03T06:38:00Z</cp:lastPrinted>
  <dcterms:created xsi:type="dcterms:W3CDTF">2024-09-24T05:52:00Z</dcterms:created>
  <dcterms:modified xsi:type="dcterms:W3CDTF">2024-09-30T08:47:00Z</dcterms:modified>
</cp:coreProperties>
</file>